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Муниципальное казенное общеобразовательное учреждение основная общеобразовательная школа №4 г. Советска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 xml:space="preserve">( приложение к ООП НОО) 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b"/>
        <w:tblW w:w="32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73"/>
      </w:tblGrid>
      <w:tr>
        <w:trPr/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eastAsia="Calibri" w:cs="" w:asciiTheme="majorBidi" w:cstheme="majorBidi" w:hAnsiTheme="majorBidi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" w:asciiTheme="majorBidi" w:cstheme="majorBidi" w:hAnsiTheme="majorBidi"/>
                <w:sz w:val="24"/>
                <w:szCs w:val="24"/>
              </w:rPr>
            </w:pPr>
            <w:r>
              <w:rPr>
                <w:rFonts w:eastAsia="Calibri" w:cs="" w:asciiTheme="majorBidi" w:cstheme="majorBidi" w:hAnsiTheme="majorBidi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jc w:val="center"/>
        <w:rPr>
          <w:rFonts w:cs="" w:asciiTheme="majorBidi" w:cstheme="majorBidi" w:hAnsiTheme="majorBidi"/>
        </w:rPr>
      </w:pPr>
      <w:r>
        <w:rPr>
          <w:rFonts w:cs="" w:asciiTheme="majorBidi" w:cstheme="majorBidi" w:hAnsiTheme="majorBidi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ascii="Georgia" w:hAnsi="Georgia" w:cs="" w:cstheme="majorBidi"/>
          <w:i/>
          <w:i/>
          <w:sz w:val="40"/>
          <w:szCs w:val="40"/>
        </w:rPr>
      </w:pPr>
      <w:r>
        <w:rPr>
          <w:rFonts w:cs="" w:cstheme="majorBidi" w:ascii="Georgia" w:hAnsi="Georgia"/>
          <w:i/>
          <w:sz w:val="40"/>
          <w:szCs w:val="40"/>
        </w:rPr>
      </w:r>
    </w:p>
    <w:p>
      <w:pPr>
        <w:pStyle w:val="Normal"/>
        <w:jc w:val="center"/>
        <w:rPr>
          <w:rFonts w:ascii="Georgia" w:hAnsi="Georgia" w:cs="" w:cstheme="majorBidi"/>
          <w:i/>
          <w:i/>
          <w:sz w:val="40"/>
          <w:szCs w:val="40"/>
        </w:rPr>
      </w:pPr>
      <w:r>
        <w:rPr>
          <w:rFonts w:cs="" w:ascii="Georgia" w:hAnsi="Georgia" w:cstheme="majorBidi"/>
          <w:i/>
          <w:sz w:val="40"/>
          <w:szCs w:val="40"/>
        </w:rPr>
        <w:t>УЧЕБНЫЙ ПЛАН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0"/>
          <w:szCs w:val="40"/>
        </w:rPr>
      </w:pPr>
      <w:r>
        <w:rPr>
          <w:rFonts w:cs="" w:ascii="Georgia" w:hAnsi="Georgia" w:cstheme="majorBidi"/>
          <w:i/>
          <w:sz w:val="40"/>
          <w:szCs w:val="40"/>
        </w:rPr>
        <w:t>начального общего образования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0"/>
          <w:szCs w:val="40"/>
        </w:rPr>
      </w:pPr>
      <w:r>
        <w:rPr>
          <w:rFonts w:cs="" w:ascii="Georgia" w:hAnsi="Georgia" w:cstheme="majorBidi"/>
          <w:i/>
          <w:sz w:val="40"/>
          <w:szCs w:val="40"/>
        </w:rPr>
        <w:t>на 2023 – 2024 учебный год</w:t>
      </w:r>
    </w:p>
    <w:p>
      <w:pPr>
        <w:pStyle w:val="Normal"/>
        <w:jc w:val="center"/>
        <w:rPr>
          <w:rFonts w:ascii="Georgia" w:hAnsi="Georgia" w:cs="" w:cstheme="majorBidi"/>
          <w:i/>
          <w:i/>
          <w:sz w:val="40"/>
          <w:szCs w:val="40"/>
        </w:rPr>
      </w:pPr>
      <w:r>
        <w:rPr>
          <w:rFonts w:cs="" w:cstheme="majorBidi" w:ascii="Georgia" w:hAnsi="Georgia"/>
          <w:i/>
          <w:sz w:val="40"/>
          <w:szCs w:val="40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Советский муниципальный район, Кировская область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2023</w:t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  <w:t>ПОЯСНИТЕЛЬНАЯ ЗАПИСКА</w:t>
      </w:r>
    </w:p>
    <w:p>
      <w:pPr>
        <w:pStyle w:val="Normal"/>
        <w:spacing w:lineRule="auto" w:line="276"/>
        <w:jc w:val="center"/>
        <w:rPr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начального общего образования Муниципального казенного общеобразовательного учреждения основной общеобразовательной школы №4 г. Советска(далее - учебный план) для 1-4 классов, реализующих 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является частью образовательной программы Муниципального казенного общеобразовательного учреждения основной общеобразовательной  школы №4 г. Советска, разработанной в соответствии с ФГОС начального общего образования, с учетом Федеральной образовательной программы начального общего образования, и обеспечивает выполнение санитарно-эпидемиологических требований СП 2.4.3648-20 игигиенических нормативов и требований СанПиН 1.2.3685-21.</w:t>
      </w:r>
    </w:p>
    <w:p>
      <w:pPr>
        <w:pStyle w:val="Normal"/>
        <w:spacing w:lineRule="auto" w:line="276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Учебный год в Муниципальном казенном общеобразовательном учреждении основной общеобразовательной школе №4 г. Советска начинается </w:t>
      </w:r>
      <w:r>
        <w:rPr>
          <w:rFonts w:cs="" w:asciiTheme="majorBidi" w:cstheme="majorBidi" w:hAnsiTheme="majorBidi"/>
          <w:sz w:val="28"/>
          <w:szCs w:val="28"/>
        </w:rPr>
        <w:t xml:space="preserve">01.09.2023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 заканчивается </w:t>
      </w:r>
      <w:r>
        <w:rPr>
          <w:rFonts w:cs="" w:asciiTheme="majorBidi" w:cstheme="majorBidi" w:hAnsiTheme="majorBidi"/>
          <w:sz w:val="28"/>
          <w:szCs w:val="28"/>
        </w:rPr>
        <w:t xml:space="preserve">31.05.2024.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>
      <w:pPr>
        <w:pStyle w:val="ListParagraph"/>
        <w:numPr>
          <w:ilvl w:val="0"/>
          <w:numId w:val="2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для обучающихся 2-4 классов - не более 5 уроков.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>
        <w:rPr>
          <w:rFonts w:cs="" w:asciiTheme="majorBidi" w:cstheme="majorBidi" w:hAnsiTheme="majorBidi"/>
          <w:sz w:val="28"/>
          <w:szCs w:val="28"/>
        </w:rPr>
        <w:t>40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минут, за исключением 1 класса.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>
      <w:pPr>
        <w:pStyle w:val="Normal"/>
        <w:spacing w:lineRule="auto" w:line="276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Учебные занятия для учащихся 1-4 классов проводятся по5-и дневной учебной неделе.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обучающихся.</w:t>
      </w:r>
    </w:p>
    <w:p>
      <w:pPr>
        <w:pStyle w:val="Normal"/>
        <w:spacing w:lineRule="auto" w:line="240" w:before="0" w:after="0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В 2023- 2024 учебном году  на часть формируемой участниками образовательных отношений отводится по 1 часу в 1-3 классах и распределяется следующим образом : 1 класс: основы двигательной активности (1 час);</w:t>
      </w:r>
    </w:p>
    <w:p>
      <w:pPr>
        <w:pStyle w:val="Normal"/>
        <w:spacing w:lineRule="auto" w:line="240" w:before="0" w:after="0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2 класс: основы двигательной активности ( 1 час)</w:t>
      </w:r>
    </w:p>
    <w:p>
      <w:pPr>
        <w:pStyle w:val="Normal"/>
        <w:spacing w:lineRule="auto" w:line="240" w:before="0" w:after="0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3 класс: математика (0,5часа)</w:t>
      </w:r>
    </w:p>
    <w:p>
      <w:pPr>
        <w:pStyle w:val="Normal"/>
        <w:spacing w:lineRule="auto" w:line="240" w:before="0" w:after="0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             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родной язык (0,5 часа)</w:t>
      </w:r>
    </w:p>
    <w:p>
      <w:pPr>
        <w:pStyle w:val="Normal"/>
        <w:spacing w:lineRule="auto" w:line="240" w:before="0" w:after="0"/>
        <w:ind w:firstLine="567"/>
        <w:jc w:val="both"/>
        <w:rPr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 Муниципальном казенном общеобразовательном учреждение основной общеобразовательной  школе №4 г. Советска языком обучения является </w:t>
      </w:r>
      <w:r>
        <w:rPr>
          <w:rFonts w:cs="" w:asciiTheme="majorBidi" w:cstheme="majorBidi" w:hAnsiTheme="majorBidi"/>
          <w:sz w:val="28"/>
          <w:szCs w:val="28"/>
        </w:rPr>
        <w:t>Русский язык.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представителей). В 2023-2024 учебном году </w:t>
      </w:r>
      <w:r>
        <w:rPr>
          <w:rStyle w:val="Markedcontent"/>
          <w:rFonts w:cs="" w:asciiTheme="majorBidi" w:cstheme="majorBidi" w:hAnsiTheme="majorBidi"/>
          <w:sz w:val="28"/>
          <w:szCs w:val="28"/>
        </w:rPr>
        <w:t>это модуль «Основы православной культуры»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аттестация–процедура, проводимая с целью оценки качества освоения обучающимися части содержания(четвертное оценивание) или всего объема учебной дисциплины за учебный год (годовое оценивание).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 xml:space="preserve">Все предметы обязательной части учебного плана оцениваются по четвертям. 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Промежуточная аттестация проходит на последней учебной неделе четверти. Формы и порядок проведения промежуточной аттестации определяются «Положением о формах, периодичности и порядке</w:t>
        <w:br/>
        <w:t>текущего контроля успеваемости и промежуточной аттестации обучающихся Муниципальное казенное общеобразовательное учреждение основная общеобразовательная школа №4 г. Советска.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 на критериальной основе, в форме письменных заключений учителя, по итогам проверки самостоятельных работ.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ООП НОО составляет 4 года.</w:t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070"/>
        <w:gridCol w:w="5067"/>
      </w:tblGrid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Предмет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Форма промежуточной аттестации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Русский язык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Тестовые контрольные работы с заданиями по развитию речи.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Литературное чтение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Проверка техники чтения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Иностранный язык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Лексико- грамматический тест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Математика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Контрольная работа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Окружающий мир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Контрольно- тестовая работа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ОРКСЭ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Создание проекта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Музыка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Концерт 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Изобразительное искусство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Выставка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Технология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Презентация продукта</w:t>
            </w:r>
          </w:p>
        </w:tc>
      </w:tr>
      <w:tr>
        <w:trPr/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Физическая культура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Сдача нормативов</w:t>
            </w:r>
          </w:p>
        </w:tc>
      </w:tr>
    </w:tbl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sectPr>
          <w:type w:val="nextPage"/>
          <w:pgSz w:w="11906" w:h="16838"/>
          <w:pgMar w:left="1134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Style w:val="Markedcontent"/>
          <w:rFonts w:cs="" w:asciiTheme="majorBidi" w:cstheme="majorBidi" w:hAnsiTheme="majorBidi"/>
          <w:sz w:val="28"/>
          <w:szCs w:val="28"/>
        </w:rPr>
        <w:t>УЧЕБНЫЙ ПЛАН</w:t>
      </w:r>
    </w:p>
    <w:p>
      <w:pPr>
        <w:pStyle w:val="Normal"/>
        <w:ind w:firstLine="567"/>
        <w:jc w:val="both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>
          <w:rFonts w:cs="" w:asciiTheme="majorBidi" w:cstheme="majorBidi" w:hAnsiTheme="majorBidi"/>
          <w:sz w:val="28"/>
          <w:szCs w:val="28"/>
        </w:rPr>
      </w:r>
    </w:p>
    <w:tbl>
      <w:tblPr>
        <w:tblStyle w:val="ab"/>
        <w:tblW w:w="1476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6"/>
        <w:gridCol w:w="4190"/>
        <w:gridCol w:w="1604"/>
        <w:gridCol w:w="1602"/>
        <w:gridCol w:w="1604"/>
        <w:gridCol w:w="1602"/>
      </w:tblGrid>
      <w:tr>
        <w:trPr/>
        <w:tc>
          <w:tcPr>
            <w:tcW w:w="4166" w:type="dxa"/>
            <w:vMerge w:val="restart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Предметная область</w:t>
            </w:r>
          </w:p>
        </w:tc>
        <w:tc>
          <w:tcPr>
            <w:tcW w:w="4190" w:type="dxa"/>
            <w:vMerge w:val="restart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Учебный предмет</w:t>
            </w:r>
          </w:p>
        </w:tc>
        <w:tc>
          <w:tcPr>
            <w:tcW w:w="6412" w:type="dxa"/>
            <w:gridSpan w:val="4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Количество часов в неделю</w:t>
            </w:r>
          </w:p>
        </w:tc>
      </w:tr>
      <w:tr>
        <w:trPr/>
        <w:tc>
          <w:tcPr>
            <w:tcW w:w="416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9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04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4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602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14768" w:type="dxa"/>
            <w:gridSpan w:val="6"/>
            <w:tcBorders/>
            <w:shd w:color="auto" w:fill="FFFFB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Обязательная часть</w:t>
            </w:r>
          </w:p>
        </w:tc>
      </w:tr>
      <w:tr>
        <w:trPr/>
        <w:tc>
          <w:tcPr>
            <w:tcW w:w="416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Русский язык и литературное чтение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Русский язык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</w:tr>
      <w:tr>
        <w:trPr/>
        <w:tc>
          <w:tcPr>
            <w:tcW w:w="416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Литературное чтение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3.5</w:t>
            </w:r>
          </w:p>
        </w:tc>
      </w:tr>
      <w:tr>
        <w:trPr/>
        <w:tc>
          <w:tcPr>
            <w:tcW w:w="416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Родной язык и литературное чтение на родном языке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Родной язык и (или) государственный язык республики Российской Федерации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0.5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0.5</w:t>
            </w:r>
          </w:p>
        </w:tc>
      </w:tr>
      <w:tr>
        <w:trPr/>
        <w:tc>
          <w:tcPr>
            <w:tcW w:w="416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Литературное чтение на родном языке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Иностранный язык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Иностранный язык (английский)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Математика и информатика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Математика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4.5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Обществознание и естествознание ("окружающий мир")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Окружающий мир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Основы религиозных культур и светской этики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Основы религиозных культур и светской этики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16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Искусство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Изобразительное искусство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16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Музыка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Технология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Технология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</w:tr>
      <w:tr>
        <w:trPr/>
        <w:tc>
          <w:tcPr>
            <w:tcW w:w="416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Физическая культура</w:t>
            </w:r>
          </w:p>
        </w:tc>
        <w:tc>
          <w:tcPr>
            <w:tcW w:w="419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Физическая культура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20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22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</w:tr>
      <w:tr>
        <w:trPr/>
        <w:tc>
          <w:tcPr>
            <w:tcW w:w="14768" w:type="dxa"/>
            <w:gridSpan w:val="6"/>
            <w:tcBorders/>
            <w:shd w:color="auto" w:fill="FFFFB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Часть, формируемая участниками образовательных отношений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eastAsia="en-US" w:bidi="ar-SA"/>
              </w:rPr>
              <w:t>Наименование учебного курса</w:t>
            </w:r>
          </w:p>
        </w:tc>
        <w:tc>
          <w:tcPr>
            <w:tcW w:w="1604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02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04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02" w:type="dxa"/>
            <w:tcBorders/>
            <w:shd w:color="auto" w:fill="D9D9D9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835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Основы двигательной активности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ИТОГО недельная нагрузка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21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1604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  <w:tc>
          <w:tcPr>
            <w:tcW w:w="1602" w:type="dxa"/>
            <w:tcBorders/>
            <w:shd w:color="auto" w:fill="00FF00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23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Количество учебных недель</w:t>
            </w:r>
          </w:p>
        </w:tc>
        <w:tc>
          <w:tcPr>
            <w:tcW w:w="1604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33</w:t>
            </w:r>
          </w:p>
        </w:tc>
        <w:tc>
          <w:tcPr>
            <w:tcW w:w="1602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1604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  <w:tc>
          <w:tcPr>
            <w:tcW w:w="1602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34</w:t>
            </w:r>
          </w:p>
        </w:tc>
      </w:tr>
      <w:tr>
        <w:trPr/>
        <w:tc>
          <w:tcPr>
            <w:tcW w:w="8356" w:type="dxa"/>
            <w:gridSpan w:val="2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Всего часов в год</w:t>
            </w:r>
          </w:p>
        </w:tc>
        <w:tc>
          <w:tcPr>
            <w:tcW w:w="1604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693</w:t>
            </w:r>
          </w:p>
        </w:tc>
        <w:tc>
          <w:tcPr>
            <w:tcW w:w="1602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782</w:t>
            </w:r>
          </w:p>
        </w:tc>
        <w:tc>
          <w:tcPr>
            <w:tcW w:w="1604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782</w:t>
            </w:r>
          </w:p>
        </w:tc>
        <w:tc>
          <w:tcPr>
            <w:tcW w:w="1602" w:type="dxa"/>
            <w:tcBorders/>
            <w:shd w:color="auto" w:fill="FCE3FC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Style w:val="Markedcontent"/>
                <w:rFonts w:cs="" w:asciiTheme="majorBidi" w:cstheme="majorBidi" w:hAnsiTheme="majorBidi"/>
                <w:sz w:val="28"/>
                <w:szCs w:val="28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>782</w:t>
            </w:r>
          </w:p>
        </w:tc>
      </w:tr>
    </w:tbl>
    <w:p>
      <w:pPr>
        <w:pStyle w:val="Normal"/>
        <w:spacing w:before="0" w:after="160"/>
        <w:rPr>
          <w:rStyle w:val="Markedcontent"/>
          <w:rFonts w:cs="" w:asciiTheme="majorBidi" w:cstheme="majorBidi" w:hAnsiTheme="majorBidi"/>
          <w:sz w:val="28"/>
          <w:szCs w:val="28"/>
        </w:rPr>
      </w:pPr>
      <w:r>
        <w:rPr/>
      </w:r>
    </w:p>
    <w:sectPr>
      <w:type w:val="nextPage"/>
      <w:pgSz w:orient="landscape" w:w="16820" w:h="11906"/>
      <w:pgMar w:left="1134" w:right="1134" w:header="0" w:top="85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Georgia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4d4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613f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a5d63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4"/>
    <w:uiPriority w:val="99"/>
    <w:semiHidden/>
    <w:qFormat/>
    <w:rsid w:val="00ca5d63"/>
    <w:rPr>
      <w:sz w:val="20"/>
      <w:szCs w:val="20"/>
    </w:rPr>
  </w:style>
  <w:style w:type="character" w:styleId="Style14" w:customStyle="1">
    <w:name w:val="Тема примечания Знак"/>
    <w:basedOn w:val="Style13"/>
    <w:link w:val="a6"/>
    <w:uiPriority w:val="99"/>
    <w:semiHidden/>
    <w:qFormat/>
    <w:rsid w:val="00ca5d63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ca5d63"/>
    <w:rPr>
      <w:rFonts w:ascii="Segoe UI" w:hAnsi="Segoe UI" w:cs="Segoe UI"/>
      <w:sz w:val="18"/>
      <w:szCs w:val="18"/>
    </w:rPr>
  </w:style>
  <w:style w:type="character" w:styleId="Markedcontent" w:customStyle="1">
    <w:name w:val="markedcontent"/>
    <w:basedOn w:val="DefaultParagraphFont"/>
    <w:qFormat/>
    <w:rsid w:val="0030678a"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613f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ca5d63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ca5d63"/>
    <w:pPr/>
    <w:rPr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ca5d6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347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LibreOffice/7.0.6.2$Linux_X86_64 LibreOffice_project/00$Build-2</Application>
  <AppVersion>15.0000</AppVersion>
  <Pages>7</Pages>
  <Words>974</Words>
  <Characters>6438</Characters>
  <CharactersWithSpaces>7267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2023-04-17T10:52:00Z</dcterms:created>
  <dc:creator>admin</dc:creator>
  <dc:description/>
  <dc:language>ru-RU</dc:language>
  <cp:lastModifiedBy/>
  <dcterms:modified xsi:type="dcterms:W3CDTF">2023-09-04T19:33:29Z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